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306</w:t>
      </w:r>
    </w:p>
    <w:p>
      <w:r>
        <w:t>Bundesgericht (BGE), 2016-12-03, DE</w:t>
      </w:r>
    </w:p>
    <w:p>
      <w:r>
        <w:rPr>
          <w:b/>
        </w:rPr>
        <w:t xml:space="preserve">Quelle: </w:t>
      </w:r>
      <w:r>
        <w:t>https://mcp.opencaselaw.ch/entscheid/bge_146 V 306</w:t>
      </w:r>
    </w:p>
    <w:p>
      <w:r>
        <w:t>FR: ATF 146 V 306</w:t>
      </w:r>
    </w:p>
    <w:p>
      <w:r>
        <w:t>IT: DTF 146 V 306</w:t>
      </w:r>
    </w:p>
    <w:p>
      <w:pPr>
        <w:pStyle w:val="Heading2"/>
      </w:pPr>
      <w:r>
        <w:t>Regeste</w:t>
      </w:r>
    </w:p>
    <w:p>
      <w:r>
        <w:t>Regeste Art. 11 Abs. 1 lit. g ELG; anrechenbare Einnahmen bei Verschwendung des Vermögens. Auch wenn Ergänzungsleistungen ein gewisser sozialhilferechtlicher Charakter beigemessen wird, bleiben sie Sozialversicherungsleistungen. Bestätigung der Rechtsprechung, wonach trotz einer selbstverschuldeten Bedürftigkeit ein Anspruch auf Ergänzungsleistungen entstehen kann (E. 2.6.2).</w:t>
      </w:r>
    </w:p>
    <w:p>
      <w:pPr>
        <w:pStyle w:val="Heading2"/>
      </w:pPr>
      <w:r>
        <w:t>Erwägungen</w:t>
      </w:r>
    </w:p>
    <w:p>
      <w:r>
        <w:rPr>
          <w:b/>
        </w:rPr>
        <w:t>E. 2.1</w:t>
      </w:r>
    </w:p>
    <w:p>
      <w:r>
        <w:t>Die jährliche Ergänzungsleistung entspricht dem Betrag, um den die anerkannten Ausgaben die anrechenbaren Einnahmen übersteigen ( Art. 9 Abs. 1 ELG [SR 831.30]).</w:t>
      </w:r>
    </w:p>
    <w:p>
      <w:r>
        <w:rPr>
          <w:b/>
        </w:rPr>
        <w:t>E. 2.2</w:t>
      </w:r>
    </w:p>
    <w:p>
      <w:r>
        <w:t>Die Vorinstanz hat die anerkannten jährlichen Ausgaben auf Fr. 40'827.- ab Oktober 2016, Fr. 41'031.- ab Januar 2017, Fr. 100'149.- ab April 2017 und Fr. 83'349.- ab August 2017 festgelegt. Als anrechenbare jährliche Einnahmen hat sie Fr. 65'140.- ab Oktober 2016, Fr. 61'165.- ab Januar 2017, Fr. 94'289.- ab April 2017 und einen nicht bezifferten, aber die anerkannten Ausgaben übersteigenden Betrag ab August 2017 festgestellt. Entsprechend dem jeweiligen Ausgaben- resp. Einnahmenüberschuss hat sie den BGE 146 V 306 S. 308 Anspruch auf jährliche Ergänzungsleistung für die Monate April bis und mit Juli 2017 (in der Höhe von jährlich Fr. 5'860.- resp. monatlich Fr. 489.-) bejaht und für die übrige Zeit verneint. Streitig und zu prüfen sind diesbezüglich einzig die ab April 2017 anrechenbaren Einnahmen mit Blick auf die vorinstanzliche Behandlung des Vermögensverzehrs.</w:t>
      </w:r>
    </w:p>
    <w:p>
      <w:r>
        <w:rPr>
          <w:b/>
        </w:rPr>
        <w:t>E. 2.3.1</w:t>
      </w:r>
    </w:p>
    <w:p>
      <w:r>
        <w:t>Als Einnahmen angerechnet werden auch Einkünfte und Vermögenswerte, auf die verzichtet worden ist ( Art. 11 Abs. 1 lit. g ELG ). Der Tatbestand dieser Bestimmung ist erfüllt, wenn die Leistungsansprecherin ohne rechtliche Verpflichtung oder ohne adäquate Gegenleistung auf Einkünfte oder Vermögen verzichtet hat ( BGE 140 V 267 E. 2.2 S. 270; BGE 134 I 65 E. 3.2 S. 70; BGE 131 V 329 E. 4.4 in fine S. 336).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121 V 204 E. 4b S. 206; BGE 115 V 352 E. 5d S. 354 f.; Urteil 9C_435/2017 vom 19. Juni 2018 E. 3.2 mit weiteren Hinweisen). In zeitlicher Hinsicht ist zu beachten, dass für die Berücksichtigung eines Vermögensverzichts in der EL-Berechnung grundsätzlich unerheblich ist, wie weit die Verzichtshandlung zurückliegt (Urteil 9C_435/2017 vom 19. Juni 2018 E. 3.2 mit Hinweisen).</w:t>
      </w:r>
    </w:p>
    <w:p>
      <w:r>
        <w:rPr>
          <w:b/>
        </w:rPr>
        <w:t>E. 2.3.2</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BGE 146 V 306 S. 309 zu belegen oder die Gründe dafür rechtsgenügend darzutun, wird ein Vermögensverzicht angenommen und ein hypothetisches Vermögen sowie darauf entfallender Ertrag angerechnet (Urteil 9C_435/2017 vom 19. Juni 2018 E. 3.3 mit Hinweisen).</w:t>
      </w:r>
    </w:p>
    <w:p>
      <w:r>
        <w:rPr>
          <w:b/>
        </w:rPr>
        <w:t>E. 2.3.3</w:t>
      </w:r>
    </w:p>
    <w:p>
      <w:r>
        <w:t>Nach Art. 17a ELV (SR 831.301)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2.4.1</w:t>
      </w:r>
    </w:p>
    <w:p>
      <w:r>
        <w:t>Das kantonale Gericht hat festgestellt, die Versicherte habe ihren Kindern von Januar 2007 bis Ende Dezember 2014 monatlich Fr. 800.- und von Januar 2015 bis Ende Juli 2016 monatlich Fr. 300.-, insgesamt also Fr. 82'500.- geschenkt. Ihr Vermögen habe sich vom 1. Januar 2014 bis zum 31. Dezember 2016 um Fr. 421'658.- auf Fr. 46'940.- vermindert. Sie habe, obwohl die Rente nicht existenzsichernd gewesen sei, während dieser Zeit u.a. in einer teuren Wohnung gelebt und hohe Beträge für Luxusprodukte ausgegeben. Unter Berücksichtigung des ergänzungsleistungsspezifischen Existenzbedarfs (Fr. 145'798.- für die Jahre 2014-2016) und der Altersrente (jährlich Fr. 28'200.-) habe der notwendige Vermögensverzehr für die Jahre 2014-2016 insgesamt lediglich Fr. 61'198.- ausgemacht. Vom Differenzbetrag (Fr. 360'460.-) verblieben nach Abzug der auf den gleichen Zeitraum entfallenden Schenkungen an die Kinder (Fr. 15'300.-) und einer Zahlung zur Begleichung von Kontokorrent-Schulden (Fr. 19'330.-) weitere für den Existenzbedarf nicht notwendige Auslagen im Betrag von Fr. 325'830.-.</w:t>
      </w:r>
    </w:p>
    <w:p>
      <w:r>
        <w:rPr>
          <w:b/>
        </w:rPr>
        <w:t>E. 2.4.2</w:t>
      </w:r>
    </w:p>
    <w:p>
      <w:r>
        <w:t>Die Vorinstanz hat sowohl die Schenkungen an die Kinder (Fr. 82'500.-) als auch die weiteren nicht existenznotwendigen Auslagen (Fr. 325'830.-) als Verzichtsvermögen betrachtet. Den Gesamtbetrag von Fr. 408'330.- hat sie - erstmals auf den 1. Januar 2009 - jährlich um Fr. 10'000.- reduziert, weshalb sie für das Jahr 2017 unter dem Titel von Art. 11 Abs. 1 lit. g ELG Fr. 318'330.- berücksichtigt hat.</w:t>
      </w:r>
    </w:p>
    <w:p>
      <w:r>
        <w:rPr>
          <w:b/>
        </w:rPr>
        <w:t>E. 2.5</w:t>
      </w:r>
    </w:p>
    <w:p>
      <w:r>
        <w:t>Die soeben (in E. 2.4.1) wiedergegebenen vorinstanzlichen Feststellungen werden nicht angefochten und bleiben für das Bundesgericht verbindlich (nicht publ. E. 1). Unbestritten ist auch, dass die BGE 146 V 306 S. 310 Schenkungen Verzichtsvermögen darstellen, das im Rahmen von Art. 17a ELV anrechenbar ist. Näher zu betrachten ist die Qualifikation der weiteren nicht existenznotwendigen Auslagen (Fr. 325'830.-). Das kantonale Gericht ist - wie zuvor die Verwaltung - implizit davon ausgegangen, dass die Versicherte dafür (zumindest teilweise; vgl. nachfolgende E. 2.7) adäquate Gegenleistungen erhalten habe. Es ist der Auffassung, die stetige Rechtsprechung des Bundesgerichts, wonach in entsprechendem Umfang der Verzichtstatbestand nicht erfüllt ist (vgl. obenstehende E. 2.3.1), sei zu ändern. Zur Begründung führt es im Wesentlichen an, der durch einen verschwenderischen Lebensstil und deshalb selbstverschuldet herbeigeführte Armutsschaden könne nicht im Rahmen einer (Sozial-)Versicherungsleistung gedeckt werden. Würden dennoch Ergänzungsleistungen ausgerichtet, so wiesen diese nicht die wesensmässigen Charakteristika der Sozialversicherung, sondern der Sozialhilfe auf, wofür dem Bund aber keine Regelungskompetenz zukomme. Eine Vermögensverschwendung lasse die anschliessende Geltendmachung von Ergänzungsleistungen als rechtsmissbräuchlich erscheinen. Die Folgen eines entsprechenden Lebenswandels dürften nicht auf die Allgemeinheit überwälzt werden; bei der Anwendung des Art. 11 Abs. 1 lit. g ELG gehe es nicht darum, einer bestimmten Lebensführung einen "moralischen Stempel" aufzudrücken, sondern die vorwerfbare Schadensherbeiführung von der Versicherungsdeckung auszunehmen. Dies entspreche auch der Auffassung des Gesetzgebers: Die von den Eidg. Räten am 22. März 2019 beschlossene (noch nicht in Kraft getretene) EL-Reform (BBl 2019 2603) sehe im neuen Art. 11a Abs. 3 ELG u.a. vor, dass ein Vermögensverzicht anzunehmen ist, wenn ab der Entstehung des Anspruchs auf eine Hinterlassenenrente der AHV beziehungsweise auf eine Rente der IV pro Jahr mehr als 10 Prozent des Vermögens verbraucht wurden, ohne dass ein wichtiger Grund dafür vorliegt. Dahinter könne nur der Gedanke stecken, dass die genannten systematischen und teleologischen Aspekte zu einer Korrektur der bundesgerichtlichen Rechtsprechung zu Art. 11 Abs. 1 lit. g ELG zwängen.</w:t>
      </w:r>
    </w:p>
    <w:p>
      <w:r>
        <w:rPr>
          <w:b/>
        </w:rPr>
        <w:t>E. 2.6.1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BGE 146 V 306 S. 311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S. 303 mit Hinweisen).</w:t>
      </w:r>
    </w:p>
    <w:p>
      <w:r>
        <w:rPr>
          <w:b/>
        </w:rPr>
        <w:t>E. 2.6.2</w:t>
      </w:r>
    </w:p>
    <w:p>
      <w:r>
        <w:t>Nach der Praxis des Bundesgerichts kann auch selbstverschuldete Bedürftigkeit einen Anspruch auf Ergänzungsleistungen begründen. Auch wenn diesen deswegen ein gewisser sozialhilferechtlicher Charakter beigemessen wird, werden sie dadurch weder rechtlich noch "faktisch" von Sozialversicherungs- zu Sozialhilfeleistungen. Die Beschwerdeführerin bringt zu Recht vor, dass Ergänzungsleistungen stets an den Bezug einer Alters-, Hinterlassenen- oder Invalidenrente und damit an den Eintritt eines versicherten Risikos anknüpfen. Daran ändert nichts, dass Ergänzungsleistungen aus Steuern (vgl. Art. 13 f. ELG) und nicht aus Versicherungsbeiträgen finanziert werden. In der Rechtsprechung wurde für den Vermögensverzicht stets auf die beiden Kriterien Rechtspflicht oder adäquate Gegenleistung abgestellt, und zwar ausdrücklich auch in Konstellationen, in denen jemand vor der Anmeldung zum Leistungsbezug über seine Verhältnisse gelebt hatte (vgl. z.B. BGE 121 V 204 E. 4b S. 206). Zwar wird insbesondere dann, wenn ein Kapitalbezug aus der 2. Säule (mit-)betroffen ist (wofür in concreto keine Anhaltspunkte vorliegen), zunehmend als stossend empfunden, dass ein verschwenderischer Vermögensverzehr bei der Ergänzungsleistungsbemessung nicht sanktioniert wird (Botschaft vom 16. September 2016 zur Änderung des Bundesgesetzes über die Ergänzungsleistungen zur Alters-, Hinterlassenen- und Invalidenversicherung [EL-Reform], BBl 2016 7495 ff. Ziff. 1.2.2; vgl. auch JÖHL/USINGER-EGGER, Ergänzungsleistungen zur AHV/IV, in: Soziale Sicherheit, SBVR Bd. XIV, 3. Aufl. 2016, S. 1887 Rz. 203). Dieser Umstand allein genügt jedoch unter dem Aspekt der Rechtssicherheit nicht für eine Änderung der Rechtsprechung. Das Vorgehen der Vorinstanz in Anlehnung an den neuen, noch nicht in Kraft stehenden Art. 11a ELG (vgl. obenstehende E. 2.5) zu schützen, käme einer unzulässigen positiven Vorwirkung gleich (vgl. BGE 129 V 455 E. 3 S. 459 mit Hinweisen; Urteil 8C_21/2018 vom 25. Juni 2018 E. 6).</w:t>
      </w:r>
    </w:p>
    <w:p>
      <w:r>
        <w:rPr>
          <w:b/>
        </w:rPr>
        <w:t>E. 2.7</w:t>
      </w:r>
    </w:p>
    <w:p>
      <w:r>
        <w:t>Nach dem Gesagten können die weiteren nicht existenznotwendigen Auslagen (Fr. 325'830.-) nicht ohne Weiteres als Verzichtsvermögen betrachtet werden. BGE 146 V 306 S. 312 Das kantonale Gericht hat (verbindlich; nicht publ. E. 1) festgestellt, dass diese Auslagen - nebst "hohen Beträgen" für Luxusprodukte - die Differenz zwischen dem anerkannten und dem tatsächlichen Wohnungsmietzins (Fr. 14'400.- pro Jahr) und die Kosten einer Zusatzversicherung zur obligatorischen Krankenversicherung enthalten, nicht aber die gegenüber der Steuerbehörde für die Jahre 2014-2016 deklarierten (und bereits beim Existenzbedarf berücksichtigten) Krankheits- und Behinderungskosten von Fr. 21'018.- sowie (mangels Belegen) von der Beschwerdeführerin geltend gemachte Ausgaben für die Spitex. Indessen lässt sich weder dem angefochtenen Gerichtsentscheid noch dem Einspracheentscheid vom 8. Dezember 2017 eine weitergehende Feststellung betreffend ausserordentliche Abnahme des Vermögens und die einer solchen gegenüberstehenden Gegenleistungen (wie Luxusprodukte und Dienstleistungen) resp. Rechtspflichten (wie Steuern) entnehmen (vgl. obenstehende E. 2.3.2). Die Sache ist zur diesbezüglichen Sachverhaltsfeststellung und neuem Entscheid über den Ergänzungsleistungsanspruch an die Verwaltung zurückzuweisen, wodurch der Beschwerdeführerin der Instanzenzug gewahrt wird.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